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486"/>
        <w:tblW w:w="0" w:type="auto"/>
        <w:tblLook w:val="04A0" w:firstRow="1" w:lastRow="0" w:firstColumn="1" w:lastColumn="0" w:noHBand="0" w:noVBand="1"/>
      </w:tblPr>
      <w:tblGrid>
        <w:gridCol w:w="1615"/>
        <w:gridCol w:w="5130"/>
        <w:gridCol w:w="5850"/>
      </w:tblGrid>
      <w:tr w:rsidR="00D76BCF" w:rsidRPr="00D76BCF" w14:paraId="7B8C5594" w14:textId="77777777" w:rsidTr="00D76BCF">
        <w:tc>
          <w:tcPr>
            <w:tcW w:w="1615" w:type="dxa"/>
            <w:shd w:val="clear" w:color="auto" w:fill="D9D9D9" w:themeFill="background1" w:themeFillShade="D9"/>
          </w:tcPr>
          <w:p w14:paraId="56B04271" w14:textId="77777777" w:rsidR="00D76BCF" w:rsidRPr="00D76BCF" w:rsidRDefault="00D76BCF" w:rsidP="00D76BCF">
            <w:pPr>
              <w:jc w:val="center"/>
            </w:pPr>
            <w:r w:rsidRPr="00D76BCF">
              <w:t>Question ID</w:t>
            </w:r>
          </w:p>
        </w:tc>
        <w:tc>
          <w:tcPr>
            <w:tcW w:w="5130" w:type="dxa"/>
            <w:shd w:val="clear" w:color="auto" w:fill="D9D9D9" w:themeFill="background1" w:themeFillShade="D9"/>
          </w:tcPr>
          <w:p w14:paraId="42F1C896" w14:textId="77777777" w:rsidR="00D76BCF" w:rsidRPr="00D76BCF" w:rsidRDefault="00D76BCF" w:rsidP="00D76BCF">
            <w:pPr>
              <w:jc w:val="center"/>
            </w:pPr>
            <w:r w:rsidRPr="00D76BCF">
              <w:t>Question</w:t>
            </w:r>
          </w:p>
        </w:tc>
        <w:tc>
          <w:tcPr>
            <w:tcW w:w="5850" w:type="dxa"/>
            <w:shd w:val="clear" w:color="auto" w:fill="D9D9D9" w:themeFill="background1" w:themeFillShade="D9"/>
          </w:tcPr>
          <w:p w14:paraId="50A8ECAC" w14:textId="77777777" w:rsidR="00D76BCF" w:rsidRPr="00D76BCF" w:rsidRDefault="00D76BCF" w:rsidP="00D76BCF">
            <w:pPr>
              <w:jc w:val="center"/>
            </w:pPr>
            <w:r w:rsidRPr="00D76BCF">
              <w:t>Answer</w:t>
            </w:r>
          </w:p>
        </w:tc>
      </w:tr>
      <w:tr w:rsidR="00D76BCF" w:rsidRPr="00D76BCF" w14:paraId="1D5EEE74" w14:textId="77777777" w:rsidTr="00D76BCF">
        <w:tc>
          <w:tcPr>
            <w:tcW w:w="1615" w:type="dxa"/>
          </w:tcPr>
          <w:p w14:paraId="51BBF976" w14:textId="77777777" w:rsidR="00D76BCF" w:rsidRPr="00D76BCF" w:rsidRDefault="00D76BCF" w:rsidP="00D76BCF">
            <w:r>
              <w:t>ISS 5_01</w:t>
            </w:r>
          </w:p>
        </w:tc>
        <w:tc>
          <w:tcPr>
            <w:tcW w:w="5130" w:type="dxa"/>
          </w:tcPr>
          <w:p w14:paraId="335E16E2" w14:textId="77777777" w:rsidR="00D76BCF" w:rsidRPr="00D76BCF" w:rsidRDefault="00D76BCF" w:rsidP="00D76BCF">
            <w:r w:rsidRPr="00D76BCF">
              <w:t>The RFI identifies that ‘selected’ hardware and software in figure 1 will be provided as GFE.  Will GFE include a TDS/DLP system?</w:t>
            </w:r>
          </w:p>
          <w:p w14:paraId="3BA0AEF9" w14:textId="77777777" w:rsidR="00D76BCF" w:rsidRPr="00D76BCF" w:rsidRDefault="00D76BCF" w:rsidP="00D76BCF"/>
        </w:tc>
        <w:tc>
          <w:tcPr>
            <w:tcW w:w="5850" w:type="dxa"/>
          </w:tcPr>
          <w:p w14:paraId="1E655C41" w14:textId="77777777" w:rsidR="00247A57" w:rsidRPr="00247A57" w:rsidRDefault="00247A57" w:rsidP="00247A57">
            <w:r w:rsidRPr="00247A57">
              <w:t>No.  The SNC is message agnostic and a TDP/DLP is not necessary.  NILE PMO currently uses the NILE Reference System (NRS) as a compatibility tester and MLST-3 as conformance and interoperability tester.  Other conformance and interoperability options exist and can be used with the concurrence of the NILE PMO.  The NILE MOU compels the project to select a NILE Interoperability Test Tool (NITT).</w:t>
            </w:r>
          </w:p>
          <w:p w14:paraId="3190DC44" w14:textId="77777777" w:rsidR="00D76BCF" w:rsidRPr="00D76BCF" w:rsidRDefault="00D76BCF" w:rsidP="00D76BCF"/>
        </w:tc>
      </w:tr>
      <w:tr w:rsidR="00D76BCF" w:rsidRPr="00D76BCF" w14:paraId="1DAA0DDF" w14:textId="77777777" w:rsidTr="00D76BCF">
        <w:tc>
          <w:tcPr>
            <w:tcW w:w="1615" w:type="dxa"/>
          </w:tcPr>
          <w:p w14:paraId="5DEE9222" w14:textId="77777777" w:rsidR="00D76BCF" w:rsidRPr="00D76BCF" w:rsidRDefault="00D76BCF" w:rsidP="00D76BCF">
            <w:r>
              <w:t>ISS 5_02</w:t>
            </w:r>
          </w:p>
        </w:tc>
        <w:tc>
          <w:tcPr>
            <w:tcW w:w="5130" w:type="dxa"/>
          </w:tcPr>
          <w:p w14:paraId="246912D2" w14:textId="77777777" w:rsidR="00D76BCF" w:rsidRPr="00D76BCF" w:rsidRDefault="00D76BCF" w:rsidP="00D76BCF">
            <w:r w:rsidRPr="00D76BCF">
              <w:t>Will the contractor be required to use an in-house developed TDS/DLP for the purpose of verifying SNC and SPC software modifications?</w:t>
            </w:r>
          </w:p>
          <w:p w14:paraId="6E03CE6A" w14:textId="77777777" w:rsidR="00D76BCF" w:rsidRPr="00D76BCF" w:rsidRDefault="00D76BCF" w:rsidP="00D76BCF"/>
        </w:tc>
        <w:tc>
          <w:tcPr>
            <w:tcW w:w="5850" w:type="dxa"/>
          </w:tcPr>
          <w:p w14:paraId="2312A754" w14:textId="77777777" w:rsidR="00D76BCF" w:rsidRPr="00D76BCF" w:rsidRDefault="00D76BCF" w:rsidP="00D76BCF">
            <w:r w:rsidRPr="00D76BCF">
              <w:t>No</w:t>
            </w:r>
          </w:p>
        </w:tc>
      </w:tr>
      <w:tr w:rsidR="00D76BCF" w:rsidRPr="00D76BCF" w14:paraId="0AE11118" w14:textId="77777777" w:rsidTr="00D76BCF">
        <w:tc>
          <w:tcPr>
            <w:tcW w:w="1615" w:type="dxa"/>
          </w:tcPr>
          <w:p w14:paraId="1FE2DB03" w14:textId="77777777" w:rsidR="00D76BCF" w:rsidRPr="00D76BCF" w:rsidRDefault="00D76BCF" w:rsidP="00D76BCF">
            <w:r>
              <w:t>ISS 5_03</w:t>
            </w:r>
          </w:p>
        </w:tc>
        <w:tc>
          <w:tcPr>
            <w:tcW w:w="5130" w:type="dxa"/>
          </w:tcPr>
          <w:p w14:paraId="5CF8C201" w14:textId="77777777" w:rsidR="00D76BCF" w:rsidRPr="00D76BCF" w:rsidRDefault="00D76BCF" w:rsidP="00D76BCF">
            <w:r w:rsidRPr="00D76BCF">
              <w:t>Will the contractor be authorized to use an in-house developed TDS/DLP for the purpose of verifying SNC and SPC software modifications?</w:t>
            </w:r>
          </w:p>
          <w:p w14:paraId="4E3777E1" w14:textId="77777777" w:rsidR="00D76BCF" w:rsidRPr="00D76BCF" w:rsidRDefault="00D76BCF" w:rsidP="00D76BCF"/>
        </w:tc>
        <w:tc>
          <w:tcPr>
            <w:tcW w:w="5850" w:type="dxa"/>
          </w:tcPr>
          <w:p w14:paraId="40FED292" w14:textId="77777777" w:rsidR="00D76BCF" w:rsidRPr="00D76BCF" w:rsidRDefault="00D76BCF" w:rsidP="00D76BCF">
            <w:r w:rsidRPr="00D76BCF">
              <w:t>Yes with concurrence of the NILE PMO.</w:t>
            </w:r>
          </w:p>
        </w:tc>
      </w:tr>
      <w:tr w:rsidR="00D76BCF" w:rsidRPr="00D76BCF" w14:paraId="3A4D4F0E" w14:textId="77777777" w:rsidTr="00D76BCF">
        <w:tc>
          <w:tcPr>
            <w:tcW w:w="1615" w:type="dxa"/>
          </w:tcPr>
          <w:p w14:paraId="77598854" w14:textId="77777777" w:rsidR="00D76BCF" w:rsidRPr="00D76BCF" w:rsidRDefault="00D76BCF" w:rsidP="00D76BCF">
            <w:r>
              <w:t>ISS 5_04</w:t>
            </w:r>
          </w:p>
        </w:tc>
        <w:tc>
          <w:tcPr>
            <w:tcW w:w="5130" w:type="dxa"/>
          </w:tcPr>
          <w:p w14:paraId="40CFEAB6" w14:textId="77777777" w:rsidR="00D76BCF" w:rsidRPr="00D76BCF" w:rsidRDefault="00D76BCF" w:rsidP="00D76BCF">
            <w:r w:rsidRPr="00D76BCF">
              <w:t>Will the contractor be required to troubleshoot competing Link-22 TDS/DLP systems?</w:t>
            </w:r>
          </w:p>
        </w:tc>
        <w:tc>
          <w:tcPr>
            <w:tcW w:w="5850" w:type="dxa"/>
          </w:tcPr>
          <w:p w14:paraId="036C2D0D" w14:textId="77777777" w:rsidR="00D76BCF" w:rsidRPr="00D76BCF" w:rsidRDefault="00D76BCF" w:rsidP="00D76BCF">
            <w:r w:rsidRPr="00D76BCF">
              <w:t xml:space="preserve">NILE PMO supports Link 22 implementations in a variety of TDP/DLP systems worldwide.  The vendor may be required to support an authorized vendor with a competing TDP/DLP implementation.  </w:t>
            </w:r>
            <w:r w:rsidR="008D37F6">
              <w:t xml:space="preserve">Conversely, other vendors may need to support your delivered TDP/DLP implementation if you are the successful vendor.  </w:t>
            </w:r>
            <w:r w:rsidRPr="00D76BCF">
              <w:t>To date, support has consisted of e-mail and phone exchanges between vendors and the SNC developer.  More direct involvement is possible.</w:t>
            </w:r>
          </w:p>
          <w:p w14:paraId="6808F289" w14:textId="77777777" w:rsidR="00D76BCF" w:rsidRPr="00D76BCF" w:rsidRDefault="00D76BCF" w:rsidP="00D76BCF"/>
        </w:tc>
      </w:tr>
      <w:tr w:rsidR="00D76BCF" w:rsidRPr="00D76BCF" w14:paraId="1CDF49DE" w14:textId="77777777" w:rsidTr="00D76BCF">
        <w:tc>
          <w:tcPr>
            <w:tcW w:w="1615" w:type="dxa"/>
          </w:tcPr>
          <w:p w14:paraId="42DEAB65" w14:textId="77777777" w:rsidR="00D76BCF" w:rsidRPr="00D76BCF" w:rsidRDefault="00D76BCF" w:rsidP="00D76BCF">
            <w:r>
              <w:t>ISS 5_05</w:t>
            </w:r>
          </w:p>
        </w:tc>
        <w:tc>
          <w:tcPr>
            <w:tcW w:w="5130" w:type="dxa"/>
          </w:tcPr>
          <w:p w14:paraId="73621D53" w14:textId="77777777" w:rsidR="00D76BCF" w:rsidRPr="00D76BCF" w:rsidRDefault="00D76BCF" w:rsidP="00D76BCF">
            <w:r w:rsidRPr="00D76BCF">
              <w:t>Will any Organizational Conflict of Interest (OCI) be created for a contractor that wins this award and simultaneously offers a Link-22 TDS/DLP system?</w:t>
            </w:r>
          </w:p>
          <w:p w14:paraId="160BFEFA" w14:textId="77777777" w:rsidR="00D76BCF" w:rsidRPr="00D76BCF" w:rsidRDefault="00D76BCF" w:rsidP="00D76BCF"/>
        </w:tc>
        <w:tc>
          <w:tcPr>
            <w:tcW w:w="5850" w:type="dxa"/>
          </w:tcPr>
          <w:p w14:paraId="6541802E" w14:textId="3A94DF80" w:rsidR="00D76BCF" w:rsidRPr="00D76BCF" w:rsidRDefault="007B3128" w:rsidP="007B3128">
            <w:r>
              <w:t>A</w:t>
            </w:r>
            <w:r w:rsidR="00B61A25">
              <w:t>n OCI</w:t>
            </w:r>
            <w:r>
              <w:t xml:space="preserve"> may exist when factors exist that creates an actual or appar</w:t>
            </w:r>
            <w:r w:rsidR="006052A9">
              <w:t xml:space="preserve">ent conflict of interest on a </w:t>
            </w:r>
            <w:r>
              <w:t>current or future contract (such as this RFP)</w:t>
            </w:r>
            <w:r w:rsidR="00B61A25">
              <w:t xml:space="preserve">. </w:t>
            </w:r>
            <w:r>
              <w:t xml:space="preserve">  One common scenario is that covered by this question, where a contractor wins a support contract for a system that it is delivering.  </w:t>
            </w:r>
            <w:r w:rsidR="00B61A25">
              <w:t>Any vendor who believe</w:t>
            </w:r>
            <w:r>
              <w:t>s it</w:t>
            </w:r>
            <w:r w:rsidR="00B61A25">
              <w:t xml:space="preserve"> may be impacted by an OCI should consider the applicable regulations at FAR 9.5, Organizational Conflict of Interest, and </w:t>
            </w:r>
            <w:r>
              <w:t xml:space="preserve">the vendor </w:t>
            </w:r>
            <w:r>
              <w:lastRenderedPageBreak/>
              <w:t xml:space="preserve">is encouraged to </w:t>
            </w:r>
            <w:r w:rsidR="00B61A25">
              <w:t xml:space="preserve">contact the Contracting Officer if </w:t>
            </w:r>
            <w:r>
              <w:t>it</w:t>
            </w:r>
            <w:r w:rsidR="00B61A25">
              <w:t xml:space="preserve"> believe</w:t>
            </w:r>
            <w:r>
              <w:t>s it may have</w:t>
            </w:r>
            <w:r w:rsidR="00B61A25">
              <w:t xml:space="preserve"> an OCI</w:t>
            </w:r>
            <w:r>
              <w:t xml:space="preserve"> that involves the NILE ISS RFP</w:t>
            </w:r>
            <w:r w:rsidR="00B61A25">
              <w:t>.</w:t>
            </w:r>
          </w:p>
        </w:tc>
      </w:tr>
      <w:tr w:rsidR="005D74F9" w:rsidRPr="00D76BCF" w14:paraId="5CA74A17" w14:textId="77777777" w:rsidTr="00D76BCF">
        <w:tc>
          <w:tcPr>
            <w:tcW w:w="1615" w:type="dxa"/>
          </w:tcPr>
          <w:p w14:paraId="1442A366" w14:textId="567CC112" w:rsidR="005D74F9" w:rsidRDefault="005D74F9" w:rsidP="00D76BCF">
            <w:r>
              <w:lastRenderedPageBreak/>
              <w:t>ISS 5_06</w:t>
            </w:r>
          </w:p>
        </w:tc>
        <w:tc>
          <w:tcPr>
            <w:tcW w:w="5130" w:type="dxa"/>
          </w:tcPr>
          <w:p w14:paraId="5B832E6F" w14:textId="080DD19E" w:rsidR="005D74F9" w:rsidRPr="00D76BCF" w:rsidRDefault="005D74F9" w:rsidP="00D76BCF">
            <w:r>
              <w:t>Background/Foreground Voiceover question during Industry Day Presentation</w:t>
            </w:r>
          </w:p>
        </w:tc>
        <w:tc>
          <w:tcPr>
            <w:tcW w:w="5850" w:type="dxa"/>
          </w:tcPr>
          <w:p w14:paraId="3E3FEB8A" w14:textId="4D9EC46F" w:rsidR="005D74F9" w:rsidRPr="005D74F9" w:rsidRDefault="005D74F9" w:rsidP="005D74F9">
            <w:pPr>
              <w:spacing w:before="100" w:beforeAutospacing="1" w:after="100" w:afterAutospacing="1"/>
            </w:pPr>
            <w:r w:rsidRPr="005D74F9">
              <w:t>We were asked to make a comment on foreground and background information</w:t>
            </w:r>
            <w:r>
              <w:t>:</w:t>
            </w:r>
          </w:p>
          <w:p w14:paraId="57F3092D" w14:textId="5F5F93AB" w:rsidR="005D74F9" w:rsidRPr="005D74F9" w:rsidRDefault="005D74F9" w:rsidP="005D74F9">
            <w:pPr>
              <w:spacing w:before="100" w:beforeAutospacing="1" w:after="100" w:afterAutospacing="1"/>
            </w:pPr>
            <w:r w:rsidRPr="005D74F9">
              <w:t> Background Information is defined by the NILE ISS MOU as “Information not generated in the performance of the Project”.  There is currently no Background information in the project.  Vendors may propose proprietary solutions.  If approved these solutions must comply with the NILE MOU and allow use by the NILE PMO and NILE member nations.  If you are the successful Offerer, other NILE Vendors will have access to your Background Information.  Re-use of your background Information requires the approval of the originating NILE Nation.</w:t>
            </w:r>
          </w:p>
          <w:p w14:paraId="0D0562EE" w14:textId="265DC2F3" w:rsidR="005D74F9" w:rsidRPr="005D74F9" w:rsidRDefault="005D74F9" w:rsidP="005D74F9">
            <w:pPr>
              <w:spacing w:before="100" w:beforeAutospacing="1" w:after="100" w:afterAutospacing="1"/>
            </w:pPr>
            <w:r w:rsidRPr="005D74F9">
              <w:t xml:space="preserve"> Foreground Information is defined by the NILE ISS MOU as “Project Information generated in the performance of the Project”.  The ISS vendor will almost certainly generate this type of information. Re-use of this information requires the approval of all NILE Nations. </w:t>
            </w:r>
          </w:p>
          <w:p w14:paraId="7C384BEE" w14:textId="760CAD41" w:rsidR="005D74F9" w:rsidRPr="005D74F9" w:rsidRDefault="005D74F9" w:rsidP="005D74F9">
            <w:pPr>
              <w:spacing w:before="100" w:beforeAutospacing="1" w:after="100" w:afterAutospacing="1"/>
            </w:pPr>
            <w:r w:rsidRPr="005D74F9">
              <w:t> Vendors should be aware that US export control obligations apply to the output of this contract. Other NILE Nations have a right to exert export control but have not done so at this time.</w:t>
            </w:r>
          </w:p>
          <w:p w14:paraId="16C5EE16" w14:textId="77777777" w:rsidR="005D74F9" w:rsidRPr="005D74F9" w:rsidRDefault="005D74F9" w:rsidP="005D74F9">
            <w:pPr>
              <w:spacing w:before="100" w:beforeAutospacing="1" w:after="100" w:afterAutospacing="1"/>
            </w:pPr>
            <w:r w:rsidRPr="005D74F9">
              <w:t> </w:t>
            </w:r>
          </w:p>
          <w:p w14:paraId="529942DF" w14:textId="77777777" w:rsidR="005D74F9" w:rsidRDefault="005D74F9" w:rsidP="007B3128"/>
        </w:tc>
      </w:tr>
    </w:tbl>
    <w:p w14:paraId="3D21855E" w14:textId="77777777" w:rsidR="008B0810" w:rsidRPr="00D76BCF" w:rsidRDefault="005D74F9" w:rsidP="00D76BCF">
      <w:pPr>
        <w:jc w:val="center"/>
      </w:pPr>
    </w:p>
    <w:sectPr w:rsidR="008B0810" w:rsidRPr="00D76BCF" w:rsidSect="00D76BC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16ACE"/>
    <w:multiLevelType w:val="hybridMultilevel"/>
    <w:tmpl w:val="2ADC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7421F2"/>
    <w:multiLevelType w:val="hybridMultilevel"/>
    <w:tmpl w:val="2ADCC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A6543B"/>
    <w:multiLevelType w:val="hybridMultilevel"/>
    <w:tmpl w:val="A30A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BCF"/>
    <w:rsid w:val="00247A57"/>
    <w:rsid w:val="00551B47"/>
    <w:rsid w:val="005D74F9"/>
    <w:rsid w:val="006052A9"/>
    <w:rsid w:val="00713F39"/>
    <w:rsid w:val="007B3128"/>
    <w:rsid w:val="008D37F6"/>
    <w:rsid w:val="00B61A25"/>
    <w:rsid w:val="00C057E6"/>
    <w:rsid w:val="00C86B58"/>
    <w:rsid w:val="00D7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CB14"/>
  <w15:chartTrackingRefBased/>
  <w15:docId w15:val="{A198AD84-5FCA-4209-8592-61B61B12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BCF"/>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8D37F6"/>
    <w:rPr>
      <w:sz w:val="16"/>
      <w:szCs w:val="16"/>
    </w:rPr>
  </w:style>
  <w:style w:type="paragraph" w:styleId="CommentText">
    <w:name w:val="annotation text"/>
    <w:basedOn w:val="Normal"/>
    <w:link w:val="CommentTextChar"/>
    <w:uiPriority w:val="99"/>
    <w:semiHidden/>
    <w:unhideWhenUsed/>
    <w:rsid w:val="008D37F6"/>
    <w:pPr>
      <w:spacing w:line="240" w:lineRule="auto"/>
    </w:pPr>
    <w:rPr>
      <w:sz w:val="20"/>
      <w:szCs w:val="20"/>
    </w:rPr>
  </w:style>
  <w:style w:type="character" w:customStyle="1" w:styleId="CommentTextChar">
    <w:name w:val="Comment Text Char"/>
    <w:basedOn w:val="DefaultParagraphFont"/>
    <w:link w:val="CommentText"/>
    <w:uiPriority w:val="99"/>
    <w:semiHidden/>
    <w:rsid w:val="008D37F6"/>
    <w:rPr>
      <w:sz w:val="20"/>
      <w:szCs w:val="20"/>
    </w:rPr>
  </w:style>
  <w:style w:type="paragraph" w:styleId="CommentSubject">
    <w:name w:val="annotation subject"/>
    <w:basedOn w:val="CommentText"/>
    <w:next w:val="CommentText"/>
    <w:link w:val="CommentSubjectChar"/>
    <w:uiPriority w:val="99"/>
    <w:semiHidden/>
    <w:unhideWhenUsed/>
    <w:rsid w:val="008D37F6"/>
    <w:rPr>
      <w:b/>
      <w:bCs/>
    </w:rPr>
  </w:style>
  <w:style w:type="character" w:customStyle="1" w:styleId="CommentSubjectChar">
    <w:name w:val="Comment Subject Char"/>
    <w:basedOn w:val="CommentTextChar"/>
    <w:link w:val="CommentSubject"/>
    <w:uiPriority w:val="99"/>
    <w:semiHidden/>
    <w:rsid w:val="008D37F6"/>
    <w:rPr>
      <w:b/>
      <w:bCs/>
      <w:sz w:val="20"/>
      <w:szCs w:val="20"/>
    </w:rPr>
  </w:style>
  <w:style w:type="paragraph" w:styleId="BalloonText">
    <w:name w:val="Balloon Text"/>
    <w:basedOn w:val="Normal"/>
    <w:link w:val="BalloonTextChar"/>
    <w:uiPriority w:val="99"/>
    <w:semiHidden/>
    <w:unhideWhenUsed/>
    <w:rsid w:val="008D3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7F6"/>
    <w:rPr>
      <w:rFonts w:ascii="Segoe UI" w:hAnsi="Segoe UI" w:cs="Segoe UI"/>
      <w:sz w:val="18"/>
      <w:szCs w:val="18"/>
    </w:rPr>
  </w:style>
  <w:style w:type="paragraph" w:customStyle="1" w:styleId="m4059141902146147927msoplaintext">
    <w:name w:val="m_4059141902146147927msoplaintext"/>
    <w:basedOn w:val="Normal"/>
    <w:rsid w:val="005D74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13139">
      <w:bodyDiv w:val="1"/>
      <w:marLeft w:val="0"/>
      <w:marRight w:val="0"/>
      <w:marTop w:val="0"/>
      <w:marBottom w:val="0"/>
      <w:divBdr>
        <w:top w:val="none" w:sz="0" w:space="0" w:color="auto"/>
        <w:left w:val="none" w:sz="0" w:space="0" w:color="auto"/>
        <w:bottom w:val="none" w:sz="0" w:space="0" w:color="auto"/>
        <w:right w:val="none" w:sz="0" w:space="0" w:color="auto"/>
      </w:divBdr>
    </w:div>
    <w:div w:id="501044850">
      <w:bodyDiv w:val="1"/>
      <w:marLeft w:val="0"/>
      <w:marRight w:val="0"/>
      <w:marTop w:val="0"/>
      <w:marBottom w:val="0"/>
      <w:divBdr>
        <w:top w:val="none" w:sz="0" w:space="0" w:color="auto"/>
        <w:left w:val="none" w:sz="0" w:space="0" w:color="auto"/>
        <w:bottom w:val="none" w:sz="0" w:space="0" w:color="auto"/>
        <w:right w:val="none" w:sz="0" w:space="0" w:color="auto"/>
      </w:divBdr>
    </w:div>
    <w:div w:id="648369092">
      <w:bodyDiv w:val="1"/>
      <w:marLeft w:val="0"/>
      <w:marRight w:val="0"/>
      <w:marTop w:val="0"/>
      <w:marBottom w:val="0"/>
      <w:divBdr>
        <w:top w:val="none" w:sz="0" w:space="0" w:color="auto"/>
        <w:left w:val="none" w:sz="0" w:space="0" w:color="auto"/>
        <w:bottom w:val="none" w:sz="0" w:space="0" w:color="auto"/>
        <w:right w:val="none" w:sz="0" w:space="0" w:color="auto"/>
      </w:divBdr>
    </w:div>
    <w:div w:id="1009598208">
      <w:bodyDiv w:val="1"/>
      <w:marLeft w:val="0"/>
      <w:marRight w:val="0"/>
      <w:marTop w:val="0"/>
      <w:marBottom w:val="0"/>
      <w:divBdr>
        <w:top w:val="none" w:sz="0" w:space="0" w:color="auto"/>
        <w:left w:val="none" w:sz="0" w:space="0" w:color="auto"/>
        <w:bottom w:val="none" w:sz="0" w:space="0" w:color="auto"/>
        <w:right w:val="none" w:sz="0" w:space="0" w:color="auto"/>
      </w:divBdr>
    </w:div>
    <w:div w:id="1214393931">
      <w:bodyDiv w:val="1"/>
      <w:marLeft w:val="0"/>
      <w:marRight w:val="0"/>
      <w:marTop w:val="0"/>
      <w:marBottom w:val="0"/>
      <w:divBdr>
        <w:top w:val="none" w:sz="0" w:space="0" w:color="auto"/>
        <w:left w:val="none" w:sz="0" w:space="0" w:color="auto"/>
        <w:bottom w:val="none" w:sz="0" w:space="0" w:color="auto"/>
        <w:right w:val="none" w:sz="0" w:space="0" w:color="auto"/>
      </w:divBdr>
    </w:div>
    <w:div w:id="1244795733">
      <w:bodyDiv w:val="1"/>
      <w:marLeft w:val="0"/>
      <w:marRight w:val="0"/>
      <w:marTop w:val="0"/>
      <w:marBottom w:val="0"/>
      <w:divBdr>
        <w:top w:val="none" w:sz="0" w:space="0" w:color="auto"/>
        <w:left w:val="none" w:sz="0" w:space="0" w:color="auto"/>
        <w:bottom w:val="none" w:sz="0" w:space="0" w:color="auto"/>
        <w:right w:val="none" w:sz="0" w:space="0" w:color="auto"/>
      </w:divBdr>
    </w:div>
    <w:div w:id="1714233440">
      <w:bodyDiv w:val="1"/>
      <w:marLeft w:val="0"/>
      <w:marRight w:val="0"/>
      <w:marTop w:val="0"/>
      <w:marBottom w:val="0"/>
      <w:divBdr>
        <w:top w:val="none" w:sz="0" w:space="0" w:color="auto"/>
        <w:left w:val="none" w:sz="0" w:space="0" w:color="auto"/>
        <w:bottom w:val="none" w:sz="0" w:space="0" w:color="auto"/>
        <w:right w:val="none" w:sz="0" w:space="0" w:color="auto"/>
      </w:divBdr>
    </w:div>
    <w:div w:id="1918857971">
      <w:bodyDiv w:val="1"/>
      <w:marLeft w:val="0"/>
      <w:marRight w:val="0"/>
      <w:marTop w:val="0"/>
      <w:marBottom w:val="0"/>
      <w:divBdr>
        <w:top w:val="none" w:sz="0" w:space="0" w:color="auto"/>
        <w:left w:val="none" w:sz="0" w:space="0" w:color="auto"/>
        <w:bottom w:val="none" w:sz="0" w:space="0" w:color="auto"/>
        <w:right w:val="none" w:sz="0" w:space="0" w:color="auto"/>
      </w:divBdr>
    </w:div>
    <w:div w:id="206020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Kilby, Amy FORNATL-UK PEO C4I, 615A0</dc:creator>
  <cp:keywords/>
  <dc:description/>
  <cp:lastModifiedBy>Alex Koschig</cp:lastModifiedBy>
  <cp:revision>3</cp:revision>
  <dcterms:created xsi:type="dcterms:W3CDTF">2020-10-15T16:32:00Z</dcterms:created>
  <dcterms:modified xsi:type="dcterms:W3CDTF">2020-10-20T21:20:00Z</dcterms:modified>
</cp:coreProperties>
</file>